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098" w:rsidRDefault="00E82098">
      <w:pPr>
        <w:pStyle w:val="Corpotesto"/>
        <w:tabs>
          <w:tab w:val="left" w:pos="-284"/>
        </w:tabs>
        <w:spacing w:after="120"/>
        <w:ind w:left="-426" w:right="-143"/>
        <w:jc w:val="left"/>
      </w:pPr>
      <w:bookmarkStart w:id="0" w:name="_GoBack"/>
      <w:bookmarkEnd w:id="0"/>
      <w:r>
        <w:rPr>
          <w:b/>
          <w:szCs w:val="24"/>
        </w:rPr>
        <w:t xml:space="preserve">FORNITURA IN SERVICE  DI  SISTEMI  PER DIAGNOSTICA DIFFERENZIALE </w:t>
      </w:r>
      <w:r w:rsidR="000B45CF">
        <w:rPr>
          <w:b/>
          <w:szCs w:val="24"/>
        </w:rPr>
        <w:t>POLMONITI</w:t>
      </w:r>
      <w:r w:rsidR="00453ABD">
        <w:rPr>
          <w:b/>
          <w:szCs w:val="24"/>
        </w:rPr>
        <w:t xml:space="preserve"> E TUBERCOLOSI</w:t>
      </w:r>
    </w:p>
    <w:p w:rsidR="00E82098" w:rsidRDefault="00E82098">
      <w:pPr>
        <w:pStyle w:val="Titolo4"/>
        <w:spacing w:after="120"/>
        <w:jc w:val="center"/>
      </w:pPr>
      <w:r>
        <w:rPr>
          <w:sz w:val="36"/>
          <w:szCs w:val="36"/>
        </w:rPr>
        <w:t>ALLEGATO C</w:t>
      </w:r>
    </w:p>
    <w:p w:rsidR="00E82098" w:rsidRDefault="00E82098">
      <w:pPr>
        <w:ind w:left="851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E82098" w:rsidRDefault="00E82098">
      <w:pPr>
        <w:ind w:left="1134" w:hanging="127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LOTTO 1 : SISTEMA ANALITICO PER LA DIAGNOSI IMMUNOLOGICA DELLA INFEZIONE TUBERCOLARE LATENTE </w:t>
      </w:r>
    </w:p>
    <w:p w:rsidR="008B14D8" w:rsidRDefault="008B14D8">
      <w:pPr>
        <w:ind w:left="1134" w:hanging="1275"/>
        <w:jc w:val="both"/>
      </w:pPr>
    </w:p>
    <w:p w:rsidR="00E82098" w:rsidRDefault="00E82098">
      <w:pPr>
        <w:ind w:left="-142"/>
        <w:jc w:val="both"/>
      </w:pPr>
      <w:r>
        <w:rPr>
          <w:rFonts w:ascii="Arial" w:hAnsi="Arial" w:cs="Arial"/>
        </w:rPr>
        <w:t xml:space="preserve">In Allegato F,scheda </w:t>
      </w:r>
      <w:r w:rsidR="00A841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vengono riportati I </w:t>
      </w:r>
      <w:r>
        <w:rPr>
          <w:rFonts w:ascii="Arial" w:hAnsi="Arial" w:cs="Arial"/>
          <w:b/>
          <w:u w:val="single"/>
        </w:rPr>
        <w:t>fabbisogni annuali</w:t>
      </w:r>
      <w:r>
        <w:rPr>
          <w:rFonts w:ascii="Arial" w:hAnsi="Arial" w:cs="Arial"/>
        </w:rPr>
        <w:t xml:space="preserve"> dei kit di raccolta dei campioni </w:t>
      </w:r>
      <w:r w:rsidR="00B01464">
        <w:rPr>
          <w:rFonts w:ascii="Arial" w:hAnsi="Arial" w:cs="Arial"/>
        </w:rPr>
        <w:t>di sangue</w:t>
      </w:r>
      <w:r>
        <w:rPr>
          <w:rFonts w:ascii="Arial" w:hAnsi="Arial" w:cs="Arial"/>
        </w:rPr>
        <w:t xml:space="preserve"> , suddivisi per azienda sanitaria (AOUBO, AUSLBO, Imola</w:t>
      </w:r>
      <w:r w:rsidR="00102962" w:rsidRPr="00846182">
        <w:rPr>
          <w:rFonts w:ascii="Arial" w:hAnsi="Arial" w:cs="Arial"/>
          <w:color w:val="000000"/>
        </w:rPr>
        <w:t xml:space="preserve">, </w:t>
      </w:r>
      <w:r w:rsidR="00102962" w:rsidRPr="00846182">
        <w:rPr>
          <w:rFonts w:ascii="Arial" w:hAnsi="Arial" w:cs="Arial"/>
          <w:bCs/>
          <w:color w:val="000000"/>
        </w:rPr>
        <w:t>AOUFE, AUSLFE</w:t>
      </w:r>
      <w:r w:rsidRPr="00846182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</w:rPr>
        <w:t xml:space="preserve"> , che andranno quotati economicamente utilizzando lo stesso allegato </w:t>
      </w:r>
    </w:p>
    <w:p w:rsidR="00E82098" w:rsidRDefault="00E82098">
      <w:pPr>
        <w:ind w:left="-142" w:hanging="992"/>
        <w:jc w:val="both"/>
        <w:rPr>
          <w:rFonts w:ascii="Arial" w:hAnsi="Arial" w:cs="Arial"/>
          <w:b/>
          <w:bCs/>
        </w:rPr>
      </w:pPr>
    </w:p>
    <w:p w:rsidR="00E82098" w:rsidRDefault="00E82098">
      <w:pPr>
        <w:ind w:left="-142"/>
        <w:jc w:val="both"/>
        <w:rPr>
          <w:rFonts w:ascii="Arial" w:hAnsi="Arial" w:cs="Arial"/>
          <w:color w:val="000000"/>
        </w:rPr>
      </w:pPr>
      <w:r w:rsidRPr="00694348">
        <w:rPr>
          <w:rFonts w:ascii="Arial" w:hAnsi="Arial" w:cs="Arial"/>
          <w:color w:val="000000"/>
        </w:rPr>
        <w:t xml:space="preserve">L’ attività analitica è centralizzata presso il Laboratorio Unico Metropolitano di Microbiologia della AOUBO (MUM)  che  esegue circa </w:t>
      </w:r>
      <w:r w:rsidR="00694348" w:rsidRPr="00694348">
        <w:rPr>
          <w:rFonts w:ascii="Arial" w:hAnsi="Arial" w:cs="Arial"/>
          <w:color w:val="000000"/>
        </w:rPr>
        <w:t>15.000</w:t>
      </w:r>
      <w:r w:rsidRPr="00694348">
        <w:rPr>
          <w:rFonts w:ascii="Arial" w:hAnsi="Arial" w:cs="Arial"/>
          <w:color w:val="000000"/>
        </w:rPr>
        <w:t xml:space="preserve"> esami refertati /anno  suddivisi in 5 sedute analitiche alla settimana, </w:t>
      </w:r>
    </w:p>
    <w:p w:rsidR="00102962" w:rsidRDefault="00102962">
      <w:pPr>
        <w:ind w:left="-142"/>
        <w:jc w:val="both"/>
        <w:rPr>
          <w:rFonts w:ascii="Arial" w:hAnsi="Arial" w:cs="Arial"/>
          <w:color w:val="000000"/>
        </w:rPr>
      </w:pPr>
    </w:p>
    <w:p w:rsidR="00102962" w:rsidRPr="00846182" w:rsidRDefault="00102962">
      <w:pPr>
        <w:ind w:left="-142"/>
        <w:jc w:val="both"/>
        <w:rPr>
          <w:bCs/>
          <w:color w:val="000000"/>
        </w:rPr>
      </w:pPr>
      <w:r w:rsidRPr="00846182">
        <w:rPr>
          <w:rFonts w:ascii="Arial" w:hAnsi="Arial" w:cs="Arial"/>
          <w:bCs/>
          <w:color w:val="000000"/>
        </w:rPr>
        <w:t xml:space="preserve">L’attività analitica </w:t>
      </w:r>
      <w:r w:rsidR="00E816E2" w:rsidRPr="00846182">
        <w:rPr>
          <w:rFonts w:ascii="Arial" w:hAnsi="Arial" w:cs="Arial"/>
          <w:bCs/>
          <w:color w:val="000000"/>
        </w:rPr>
        <w:t xml:space="preserve">per Ferrara </w:t>
      </w:r>
      <w:r w:rsidRPr="00846182">
        <w:rPr>
          <w:rFonts w:ascii="Arial" w:hAnsi="Arial" w:cs="Arial"/>
          <w:bCs/>
          <w:color w:val="000000"/>
        </w:rPr>
        <w:t>è centralizzata presso il Laboratorio Unico Provinciale LUP presso l’unità di Microbiologia della AOUFE-Cona che esegue circa 9</w:t>
      </w:r>
      <w:r w:rsidR="00846182">
        <w:rPr>
          <w:rFonts w:ascii="Arial" w:hAnsi="Arial" w:cs="Arial"/>
          <w:bCs/>
          <w:color w:val="000000"/>
        </w:rPr>
        <w:t>.</w:t>
      </w:r>
      <w:r w:rsidRPr="00846182">
        <w:rPr>
          <w:rFonts w:ascii="Arial" w:hAnsi="Arial" w:cs="Arial"/>
          <w:bCs/>
          <w:color w:val="000000"/>
        </w:rPr>
        <w:t>000 esami refertati</w:t>
      </w:r>
      <w:r w:rsidR="00B80F51">
        <w:rPr>
          <w:rFonts w:ascii="Arial" w:hAnsi="Arial" w:cs="Arial"/>
          <w:bCs/>
          <w:color w:val="000000"/>
        </w:rPr>
        <w:t xml:space="preserve"> </w:t>
      </w:r>
      <w:r w:rsidRPr="00846182">
        <w:rPr>
          <w:rFonts w:ascii="Arial" w:hAnsi="Arial" w:cs="Arial"/>
          <w:bCs/>
          <w:color w:val="000000"/>
        </w:rPr>
        <w:t>/anno suddivisi in 5 sedute analitiche alla settimana.</w:t>
      </w:r>
    </w:p>
    <w:p w:rsidR="00E82098" w:rsidRPr="00694348" w:rsidRDefault="00E82098">
      <w:pPr>
        <w:ind w:left="-142"/>
        <w:jc w:val="both"/>
        <w:rPr>
          <w:rFonts w:ascii="Arial" w:hAnsi="Arial" w:cs="Arial"/>
          <w:b/>
          <w:bCs/>
          <w:color w:val="000000"/>
        </w:rPr>
      </w:pPr>
    </w:p>
    <w:p w:rsidR="00E82098" w:rsidRDefault="00E82098">
      <w:pPr>
        <w:pStyle w:val="Corpodeltesto31"/>
        <w:ind w:left="-142"/>
        <w:jc w:val="both"/>
      </w:pPr>
      <w:r>
        <w:rPr>
          <w:rFonts w:ascii="Arial" w:hAnsi="Arial" w:cs="Arial"/>
          <w:sz w:val="20"/>
          <w:szCs w:val="20"/>
        </w:rPr>
        <w:t>La fornitura relativa al lotto 1 si inten</w:t>
      </w:r>
      <w:r w:rsidR="0080088B">
        <w:rPr>
          <w:rFonts w:ascii="Arial" w:hAnsi="Arial" w:cs="Arial"/>
          <w:sz w:val="20"/>
          <w:szCs w:val="20"/>
        </w:rPr>
        <w:t xml:space="preserve">de </w:t>
      </w:r>
      <w:r w:rsidR="0080088B" w:rsidRPr="00846182">
        <w:rPr>
          <w:rFonts w:ascii="Arial" w:hAnsi="Arial" w:cs="Arial"/>
          <w:sz w:val="20"/>
          <w:szCs w:val="20"/>
        </w:rPr>
        <w:t>costituita da strumentazione nuova di fabbrica e</w:t>
      </w:r>
      <w:r w:rsidRPr="00846182">
        <w:rPr>
          <w:rFonts w:ascii="Arial" w:hAnsi="Arial" w:cs="Arial"/>
          <w:sz w:val="20"/>
          <w:szCs w:val="20"/>
        </w:rPr>
        <w:t xml:space="preserve"> di ultima generazione da installare presso il Laboratorio MUM</w:t>
      </w:r>
      <w:r w:rsidRPr="00846182">
        <w:rPr>
          <w:rFonts w:ascii="Arial" w:hAnsi="Arial" w:cs="Arial"/>
          <w:color w:val="000000"/>
          <w:sz w:val="20"/>
          <w:szCs w:val="20"/>
        </w:rPr>
        <w:t xml:space="preserve">, </w:t>
      </w:r>
      <w:r w:rsidR="00102962" w:rsidRPr="00846182">
        <w:rPr>
          <w:rFonts w:ascii="Arial" w:hAnsi="Arial" w:cs="Arial"/>
          <w:bCs/>
          <w:color w:val="000000"/>
          <w:sz w:val="20"/>
          <w:szCs w:val="20"/>
        </w:rPr>
        <w:t>e LUP-Microbiologia di Ferrara</w:t>
      </w:r>
      <w:r w:rsidR="00102962" w:rsidRPr="00846182">
        <w:rPr>
          <w:rFonts w:ascii="Arial" w:hAnsi="Arial" w:cs="Arial"/>
          <w:color w:val="000000"/>
          <w:sz w:val="20"/>
          <w:szCs w:val="20"/>
        </w:rPr>
        <w:t>,</w:t>
      </w:r>
      <w:r w:rsidRPr="00846182">
        <w:rPr>
          <w:rFonts w:ascii="Arial" w:hAnsi="Arial" w:cs="Arial"/>
          <w:color w:val="000000"/>
          <w:sz w:val="20"/>
          <w:szCs w:val="20"/>
        </w:rPr>
        <w:t xml:space="preserve"> dai kit di raccolta dei campioni di sangue da destinare a tutte  le Aziende Sanitarie coinvolte  (allegato F, scheda</w:t>
      </w:r>
      <w:r>
        <w:rPr>
          <w:rFonts w:ascii="Arial" w:hAnsi="Arial" w:cs="Arial"/>
          <w:sz w:val="20"/>
          <w:szCs w:val="20"/>
        </w:rPr>
        <w:t xml:space="preserve"> </w:t>
      </w:r>
      <w:r w:rsidR="00A841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) , dai kit diagnostici e da tutto   il materiale necessario per il corretto funzionamento della strumentazione  offerta e per l’ attività analitica prevista,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nulla escluso</w:t>
      </w:r>
      <w:r>
        <w:rPr>
          <w:rFonts w:ascii="Arial" w:hAnsi="Arial" w:cs="Arial"/>
          <w:bCs/>
          <w:sz w:val="20"/>
          <w:szCs w:val="20"/>
        </w:rPr>
        <w:t>.</w:t>
      </w:r>
    </w:p>
    <w:p w:rsidR="00E82098" w:rsidRDefault="0080088B">
      <w:pPr>
        <w:ind w:left="851" w:hanging="992"/>
        <w:jc w:val="both"/>
      </w:pPr>
      <w:r>
        <w:rPr>
          <w:rFonts w:ascii="Arial" w:hAnsi="Arial" w:cs="Arial"/>
          <w:b/>
          <w:bCs/>
        </w:rPr>
        <w:t>OFFERTA ECONOMICA</w:t>
      </w:r>
      <w:r w:rsidR="00E82098">
        <w:rPr>
          <w:rFonts w:ascii="Arial" w:hAnsi="Arial" w:cs="Arial"/>
          <w:b/>
          <w:bCs/>
        </w:rPr>
        <w:t>:</w:t>
      </w:r>
    </w:p>
    <w:p w:rsidR="00E82098" w:rsidRDefault="00E82098">
      <w:pPr>
        <w:ind w:left="-142"/>
        <w:jc w:val="both"/>
      </w:pPr>
      <w:r>
        <w:rPr>
          <w:rFonts w:ascii="Arial" w:hAnsi="Arial" w:cs="Arial"/>
          <w:bCs/>
        </w:rPr>
        <w:t xml:space="preserve">La ditta deve indicare il prezzo per </w:t>
      </w:r>
      <w:r w:rsidRPr="00C6122C">
        <w:rPr>
          <w:rFonts w:ascii="Arial" w:hAnsi="Arial" w:cs="Arial"/>
          <w:bCs/>
        </w:rPr>
        <w:t>i kit  di raccolta campioni di sangue richiesti</w:t>
      </w:r>
      <w:r>
        <w:rPr>
          <w:rFonts w:ascii="Arial" w:hAnsi="Arial" w:cs="Arial"/>
          <w:bCs/>
        </w:rPr>
        <w:t xml:space="preserve"> dalle singole Aziende in Allegato F, Scheda</w:t>
      </w:r>
      <w:r w:rsidR="0080088B">
        <w:rPr>
          <w:rFonts w:ascii="Arial" w:hAnsi="Arial" w:cs="Arial"/>
          <w:bCs/>
        </w:rPr>
        <w:t xml:space="preserve"> </w:t>
      </w:r>
      <w:r w:rsidR="00A841E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:rsidR="00E82098" w:rsidRDefault="00E82098" w:rsidP="00C6122C">
      <w:pPr>
        <w:ind w:left="-142" w:firstLine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la parte analitica, la ditta deve quotare i singoli componenti (kit diagnostici, controlli, consumabi</w:t>
      </w:r>
      <w:r w:rsidR="00A841E1">
        <w:rPr>
          <w:rFonts w:ascii="Arial" w:hAnsi="Arial" w:cs="Arial"/>
          <w:bCs/>
        </w:rPr>
        <w:t>li,etc.) utilizzando la Scheda 4</w:t>
      </w:r>
      <w:r>
        <w:rPr>
          <w:rFonts w:ascii="Arial" w:hAnsi="Arial" w:cs="Arial"/>
          <w:bCs/>
        </w:rPr>
        <w:t xml:space="preserve"> dell’ Allegato F. </w:t>
      </w:r>
      <w:r w:rsidR="0071221A">
        <w:rPr>
          <w:rFonts w:ascii="Arial" w:hAnsi="Arial" w:cs="Arial"/>
          <w:bCs/>
        </w:rPr>
        <w:t xml:space="preserve">Inoltre </w:t>
      </w:r>
      <w:r w:rsidR="0071221A">
        <w:rPr>
          <w:rFonts w:ascii="Arial" w:hAnsi="Arial" w:cs="Arial"/>
          <w:sz w:val="22"/>
          <w:szCs w:val="22"/>
        </w:rPr>
        <w:t>l</w:t>
      </w:r>
      <w:r w:rsidR="0071221A" w:rsidRPr="00F23C6E">
        <w:rPr>
          <w:rFonts w:ascii="Arial" w:hAnsi="Arial" w:cs="Arial"/>
          <w:sz w:val="22"/>
          <w:szCs w:val="22"/>
        </w:rPr>
        <w:t xml:space="preserve">a Ditta dovrà indicare, utilizzando l’ Allegato F, un prezzo per il </w:t>
      </w:r>
      <w:r w:rsidR="0071221A">
        <w:rPr>
          <w:rFonts w:ascii="Arial" w:hAnsi="Arial" w:cs="Arial"/>
          <w:sz w:val="22"/>
          <w:szCs w:val="22"/>
        </w:rPr>
        <w:t xml:space="preserve">canone di noleggio (Scheda 1) e </w:t>
      </w:r>
      <w:r w:rsidR="0071221A" w:rsidRPr="00F23C6E">
        <w:rPr>
          <w:rFonts w:ascii="Arial" w:hAnsi="Arial" w:cs="Arial"/>
          <w:sz w:val="22"/>
          <w:szCs w:val="22"/>
        </w:rPr>
        <w:t>un prezzo di assistenza tecnica</w:t>
      </w:r>
      <w:r w:rsidR="0071221A">
        <w:rPr>
          <w:rFonts w:ascii="Arial" w:hAnsi="Arial" w:cs="Arial"/>
          <w:sz w:val="22"/>
          <w:szCs w:val="22"/>
        </w:rPr>
        <w:t xml:space="preserve"> </w:t>
      </w:r>
      <w:r w:rsidR="0071221A" w:rsidRPr="00F23C6E">
        <w:rPr>
          <w:rFonts w:ascii="Arial" w:hAnsi="Arial" w:cs="Arial"/>
          <w:sz w:val="22"/>
          <w:szCs w:val="22"/>
        </w:rPr>
        <w:t>(Scheda 2)</w:t>
      </w:r>
      <w:r w:rsidR="0071221A">
        <w:rPr>
          <w:rFonts w:ascii="Arial" w:hAnsi="Arial" w:cs="Arial"/>
          <w:sz w:val="22"/>
          <w:szCs w:val="22"/>
        </w:rPr>
        <w:t xml:space="preserve"> dell’Allegato F.</w:t>
      </w:r>
    </w:p>
    <w:p w:rsidR="00C6122C" w:rsidRDefault="00C6122C" w:rsidP="00C6122C">
      <w:pPr>
        <w:ind w:left="-142" w:firstLine="1"/>
        <w:jc w:val="both"/>
        <w:rPr>
          <w:rFonts w:ascii="Arial" w:hAnsi="Arial" w:cs="Arial"/>
          <w:b/>
          <w:bCs/>
          <w:sz w:val="22"/>
          <w:szCs w:val="22"/>
        </w:rPr>
      </w:pPr>
    </w:p>
    <w:p w:rsidR="00E82098" w:rsidRDefault="00E82098">
      <w:pPr>
        <w:ind w:left="1134" w:hanging="1275"/>
        <w:jc w:val="both"/>
      </w:pPr>
      <w:r>
        <w:rPr>
          <w:rFonts w:ascii="Arial" w:hAnsi="Arial" w:cs="Arial"/>
          <w:b/>
          <w:bCs/>
          <w:sz w:val="22"/>
          <w:szCs w:val="22"/>
        </w:rPr>
        <w:t>LOTTO 2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SISTEMA PER LA DIAGNOSI RAPIDA DI LEGIONELLA PNEUMOPHILA E STREPTOCOCCUS PNEUMONIAE</w:t>
      </w:r>
    </w:p>
    <w:p w:rsidR="00E82098" w:rsidRDefault="00E82098">
      <w:pPr>
        <w:pStyle w:val="Corpotesto"/>
        <w:tabs>
          <w:tab w:val="left" w:pos="1908"/>
        </w:tabs>
      </w:pPr>
      <w:r>
        <w:rPr>
          <w:bCs/>
        </w:rPr>
        <w:tab/>
      </w:r>
    </w:p>
    <w:p w:rsidR="00E82098" w:rsidRDefault="00E82098">
      <w:pPr>
        <w:pStyle w:val="Corpotesto"/>
      </w:pPr>
      <w:r>
        <w:rPr>
          <w:bCs/>
          <w:sz w:val="20"/>
        </w:rPr>
        <w:t xml:space="preserve">L’ attività di diagnostica rapida  svolta dal laboratorio di Batteriologia della U.O. Microbiologia  (MUM) </w:t>
      </w:r>
      <w:r>
        <w:t xml:space="preserve">è la seguente : 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3718"/>
        <w:gridCol w:w="2604"/>
        <w:gridCol w:w="2991"/>
      </w:tblGrid>
      <w:tr w:rsidR="00E82098" w:rsidTr="00C6122C">
        <w:trPr>
          <w:trHeight w:val="32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</w:pPr>
            <w:bookmarkStart w:id="1" w:name="_Hlk160177528"/>
            <w:r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</w:pPr>
            <w:r>
              <w:rPr>
                <w:bCs/>
                <w:sz w:val="22"/>
                <w:szCs w:val="22"/>
              </w:rPr>
              <w:t xml:space="preserve">N.ro Referti /anno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</w:pPr>
            <w:r>
              <w:rPr>
                <w:bCs/>
                <w:sz w:val="22"/>
                <w:szCs w:val="22"/>
              </w:rPr>
              <w:t>Frequenza di esecuzione</w:t>
            </w:r>
          </w:p>
        </w:tc>
      </w:tr>
      <w:tr w:rsidR="00E82098" w:rsidTr="00C6122C">
        <w:trPr>
          <w:trHeight w:val="29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  <w:jc w:val="left"/>
            </w:pPr>
            <w:r>
              <w:rPr>
                <w:bCs/>
                <w:sz w:val="20"/>
              </w:rPr>
              <w:t xml:space="preserve">L. </w:t>
            </w:r>
            <w:proofErr w:type="spellStart"/>
            <w:r>
              <w:rPr>
                <w:bCs/>
                <w:sz w:val="20"/>
              </w:rPr>
              <w:t>pneumophila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Pr="00C6122C" w:rsidRDefault="00E82098">
            <w:pPr>
              <w:pStyle w:val="Corpotesto"/>
              <w:jc w:val="left"/>
            </w:pPr>
            <w:r w:rsidRPr="00C6122C">
              <w:rPr>
                <w:bCs/>
                <w:sz w:val="20"/>
              </w:rPr>
              <w:t>12.000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  <w:jc w:val="left"/>
            </w:pPr>
            <w:r>
              <w:rPr>
                <w:bCs/>
                <w:sz w:val="20"/>
              </w:rPr>
              <w:t>6/settimana</w:t>
            </w:r>
          </w:p>
        </w:tc>
      </w:tr>
      <w:tr w:rsidR="00E82098" w:rsidTr="00C6122C">
        <w:trPr>
          <w:trHeight w:val="45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  <w:jc w:val="left"/>
            </w:pPr>
            <w:r>
              <w:rPr>
                <w:bCs/>
                <w:sz w:val="20"/>
              </w:rPr>
              <w:t xml:space="preserve">S. </w:t>
            </w:r>
            <w:proofErr w:type="spellStart"/>
            <w:r>
              <w:rPr>
                <w:bCs/>
                <w:sz w:val="20"/>
              </w:rPr>
              <w:t>pneumoniae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Pr="00C6122C" w:rsidRDefault="00E82098">
            <w:pPr>
              <w:pStyle w:val="Corpotesto"/>
              <w:jc w:val="left"/>
            </w:pPr>
            <w:r w:rsidRPr="00C6122C">
              <w:rPr>
                <w:bCs/>
                <w:sz w:val="20"/>
              </w:rPr>
              <w:t>12.000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</w:pPr>
            <w:r>
              <w:rPr>
                <w:bCs/>
                <w:sz w:val="20"/>
              </w:rPr>
              <w:t>6/settimana</w:t>
            </w:r>
          </w:p>
        </w:tc>
      </w:tr>
      <w:tr w:rsidR="00E82098" w:rsidTr="00C6122C">
        <w:trPr>
          <w:trHeight w:val="36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</w:pPr>
            <w:r>
              <w:rPr>
                <w:b/>
                <w:bCs/>
                <w:sz w:val="20"/>
              </w:rPr>
              <w:t>TOTALE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98" w:rsidRPr="00C6122C" w:rsidRDefault="00E82098">
            <w:pPr>
              <w:pStyle w:val="Corpotesto"/>
            </w:pPr>
            <w:r w:rsidRPr="00C6122C">
              <w:rPr>
                <w:b/>
                <w:bCs/>
                <w:sz w:val="20"/>
              </w:rPr>
              <w:t>24.000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8" w:rsidRDefault="00E82098">
            <w:pPr>
              <w:pStyle w:val="Corpotesto"/>
              <w:snapToGrid w:val="0"/>
              <w:rPr>
                <w:b/>
                <w:bCs/>
                <w:sz w:val="20"/>
              </w:rPr>
            </w:pPr>
          </w:p>
        </w:tc>
      </w:tr>
    </w:tbl>
    <w:bookmarkEnd w:id="1"/>
    <w:p w:rsidR="00E82098" w:rsidRDefault="00E82098">
      <w:pPr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L’ attività viene svolta  su campioni di urina e liquor provenienti dalle aziende sanitarie , incluse le strutture accreditate convenzionate  della provincia di Bologna (AOSP </w:t>
      </w:r>
      <w:proofErr w:type="spellStart"/>
      <w:r>
        <w:rPr>
          <w:rFonts w:ascii="Arial" w:hAnsi="Arial" w:cs="Arial"/>
          <w:bCs/>
        </w:rPr>
        <w:t>S.Orsola</w:t>
      </w:r>
      <w:proofErr w:type="spellEnd"/>
      <w:r>
        <w:rPr>
          <w:rFonts w:ascii="Arial" w:hAnsi="Arial" w:cs="Arial"/>
          <w:bCs/>
        </w:rPr>
        <w:t xml:space="preserve"> , AUSL Bologna, AUSL Imola). </w:t>
      </w:r>
    </w:p>
    <w:p w:rsidR="00612FA1" w:rsidRDefault="00612FA1">
      <w:pPr>
        <w:rPr>
          <w:rFonts w:ascii="Arial" w:hAnsi="Arial" w:cs="Arial"/>
          <w:bCs/>
        </w:rPr>
      </w:pPr>
    </w:p>
    <w:p w:rsidR="00612FA1" w:rsidRDefault="00612FA1" w:rsidP="00612FA1">
      <w:pPr>
        <w:jc w:val="both"/>
        <w:rPr>
          <w:rFonts w:ascii="Arial" w:hAnsi="Arial" w:cs="Arial"/>
          <w:color w:val="000000"/>
        </w:rPr>
      </w:pPr>
      <w:r w:rsidRPr="00846182">
        <w:rPr>
          <w:rFonts w:ascii="Arial" w:hAnsi="Arial" w:cs="Arial"/>
          <w:color w:val="000000"/>
        </w:rPr>
        <w:t xml:space="preserve">Lo stesso tipo di sistema per la diagnosi rapida di Legionella </w:t>
      </w:r>
      <w:proofErr w:type="spellStart"/>
      <w:r w:rsidRPr="00846182">
        <w:rPr>
          <w:rFonts w:ascii="Arial" w:hAnsi="Arial" w:cs="Arial"/>
          <w:color w:val="000000"/>
        </w:rPr>
        <w:t>pneumophila</w:t>
      </w:r>
      <w:proofErr w:type="spellEnd"/>
      <w:r w:rsidRPr="00846182">
        <w:rPr>
          <w:rFonts w:ascii="Arial" w:hAnsi="Arial" w:cs="Arial"/>
          <w:color w:val="000000"/>
        </w:rPr>
        <w:t xml:space="preserve"> e </w:t>
      </w:r>
      <w:proofErr w:type="spellStart"/>
      <w:r w:rsidRPr="00846182">
        <w:rPr>
          <w:rFonts w:ascii="Arial" w:hAnsi="Arial" w:cs="Arial"/>
          <w:color w:val="000000"/>
        </w:rPr>
        <w:t>Streptococcus</w:t>
      </w:r>
      <w:proofErr w:type="spellEnd"/>
      <w:r w:rsidRPr="00846182">
        <w:rPr>
          <w:rFonts w:ascii="Arial" w:hAnsi="Arial" w:cs="Arial"/>
          <w:color w:val="000000"/>
        </w:rPr>
        <w:t xml:space="preserve"> </w:t>
      </w:r>
      <w:proofErr w:type="spellStart"/>
      <w:r w:rsidRPr="00846182">
        <w:rPr>
          <w:rFonts w:ascii="Arial" w:hAnsi="Arial" w:cs="Arial"/>
          <w:color w:val="000000"/>
        </w:rPr>
        <w:t>pneumoniae</w:t>
      </w:r>
      <w:proofErr w:type="spellEnd"/>
      <w:r w:rsidRPr="00846182">
        <w:rPr>
          <w:rFonts w:ascii="Arial" w:hAnsi="Arial" w:cs="Arial"/>
          <w:color w:val="000000"/>
        </w:rPr>
        <w:t xml:space="preserve"> viene richiesto anche dall’unità di Microbiologia della AOUFE-Cona del Laboratorio Unico Provinciale LUP</w:t>
      </w:r>
      <w:r w:rsidR="00376365" w:rsidRPr="00846182">
        <w:rPr>
          <w:rFonts w:ascii="Arial" w:hAnsi="Arial" w:cs="Arial"/>
          <w:color w:val="000000"/>
        </w:rPr>
        <w:t xml:space="preserve">, </w:t>
      </w:r>
      <w:r w:rsidR="00893892" w:rsidRPr="00846182">
        <w:rPr>
          <w:rFonts w:ascii="Arial" w:hAnsi="Arial" w:cs="Arial"/>
          <w:color w:val="000000"/>
        </w:rPr>
        <w:t xml:space="preserve">e </w:t>
      </w:r>
      <w:r w:rsidR="00376365" w:rsidRPr="00846182">
        <w:rPr>
          <w:rFonts w:ascii="Arial" w:hAnsi="Arial" w:cs="Arial"/>
          <w:color w:val="000000"/>
        </w:rPr>
        <w:t xml:space="preserve">dai laboratori periferici </w:t>
      </w:r>
      <w:r w:rsidR="00E10109" w:rsidRPr="00846182">
        <w:rPr>
          <w:rFonts w:ascii="Arial" w:hAnsi="Arial" w:cs="Arial"/>
          <w:color w:val="000000"/>
        </w:rPr>
        <w:t xml:space="preserve">AUSLFE </w:t>
      </w:r>
      <w:r w:rsidR="00376365" w:rsidRPr="00846182">
        <w:rPr>
          <w:rFonts w:ascii="Arial" w:hAnsi="Arial" w:cs="Arial"/>
          <w:color w:val="000000"/>
        </w:rPr>
        <w:t>degli ospedali AUSLDELTA E AUSLCENTO</w:t>
      </w:r>
      <w:r w:rsidRPr="00846182">
        <w:rPr>
          <w:rFonts w:ascii="Arial" w:hAnsi="Arial" w:cs="Arial"/>
          <w:color w:val="000000"/>
        </w:rPr>
        <w:t xml:space="preserve">.  La fornitura relativa al lotto 2 si intende costituita da strumentazione nuova di fabbrica e di ultima generazione da installare presso </w:t>
      </w:r>
      <w:r w:rsidR="00376365" w:rsidRPr="00846182">
        <w:rPr>
          <w:rFonts w:ascii="Arial" w:hAnsi="Arial" w:cs="Arial"/>
          <w:color w:val="000000"/>
        </w:rPr>
        <w:t>tutte e tre le sedi indicate (Cona, Delta e Cento)</w:t>
      </w:r>
      <w:r w:rsidRPr="00846182">
        <w:rPr>
          <w:rFonts w:ascii="Arial" w:hAnsi="Arial" w:cs="Arial"/>
          <w:color w:val="000000"/>
        </w:rPr>
        <w:t>, compreso l’interfacciamento al LIS e ai SW dedicati, dai kit diagnostici/reagenti e da tutto   il materiale necessario per il corretto funzionamento della strumentazione  offerta e per l’ attività analitica prevista, nulla escluso</w:t>
      </w:r>
      <w:r w:rsidR="00376365" w:rsidRPr="00846182">
        <w:rPr>
          <w:rFonts w:ascii="Arial" w:hAnsi="Arial" w:cs="Arial"/>
          <w:color w:val="000000"/>
        </w:rPr>
        <w:t xml:space="preserve"> e rispettivamente nelle tre strutture indicate</w:t>
      </w:r>
      <w:r w:rsidRPr="00846182">
        <w:rPr>
          <w:rFonts w:ascii="Arial" w:hAnsi="Arial" w:cs="Arial"/>
          <w:color w:val="000000"/>
        </w:rPr>
        <w:t>.</w:t>
      </w:r>
    </w:p>
    <w:p w:rsidR="00846182" w:rsidRDefault="00846182" w:rsidP="00612FA1">
      <w:pPr>
        <w:jc w:val="both"/>
        <w:rPr>
          <w:bCs/>
        </w:rPr>
      </w:pPr>
    </w:p>
    <w:p w:rsidR="00846182" w:rsidRDefault="00846182" w:rsidP="00612FA1">
      <w:pPr>
        <w:jc w:val="both"/>
        <w:rPr>
          <w:bCs/>
        </w:rPr>
      </w:pPr>
    </w:p>
    <w:p w:rsidR="00846182" w:rsidRPr="00846182" w:rsidRDefault="00846182" w:rsidP="00612FA1">
      <w:pPr>
        <w:jc w:val="both"/>
        <w:rPr>
          <w:rFonts w:ascii="Arial" w:hAnsi="Arial" w:cs="Arial"/>
        </w:rPr>
      </w:pPr>
      <w:r w:rsidRPr="00846182">
        <w:rPr>
          <w:rFonts w:ascii="Arial" w:hAnsi="Arial" w:cs="Arial"/>
        </w:rPr>
        <w:t>L’ attività di diagnostica rapida  è la seguente:</w:t>
      </w:r>
    </w:p>
    <w:p w:rsidR="00612FA1" w:rsidRDefault="00612FA1">
      <w:pPr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734"/>
        <w:gridCol w:w="1275"/>
        <w:gridCol w:w="1701"/>
        <w:gridCol w:w="2942"/>
      </w:tblGrid>
      <w:tr w:rsidR="00376365" w:rsidRPr="00846182" w:rsidTr="00376365">
        <w:tc>
          <w:tcPr>
            <w:tcW w:w="220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TEST</w:t>
            </w:r>
          </w:p>
        </w:tc>
        <w:tc>
          <w:tcPr>
            <w:tcW w:w="1734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N.ro referti/anno</w:t>
            </w:r>
          </w:p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CONA</w:t>
            </w:r>
          </w:p>
        </w:tc>
        <w:tc>
          <w:tcPr>
            <w:tcW w:w="1275" w:type="dxa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N.ro referti anno DELTA</w:t>
            </w:r>
          </w:p>
        </w:tc>
        <w:tc>
          <w:tcPr>
            <w:tcW w:w="1701" w:type="dxa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N.ro referti/anno</w:t>
            </w:r>
          </w:p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CENTO</w:t>
            </w:r>
          </w:p>
        </w:tc>
        <w:tc>
          <w:tcPr>
            <w:tcW w:w="294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Frequenza di esecuzione</w:t>
            </w:r>
          </w:p>
        </w:tc>
      </w:tr>
      <w:tr w:rsidR="00376365" w:rsidRPr="00846182" w:rsidTr="00376365">
        <w:tc>
          <w:tcPr>
            <w:tcW w:w="220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 xml:space="preserve">L. </w:t>
            </w:r>
            <w:proofErr w:type="spellStart"/>
            <w:r w:rsidRPr="00846182">
              <w:rPr>
                <w:rFonts w:ascii="Arial" w:hAnsi="Arial" w:cs="Arial"/>
                <w:color w:val="000000"/>
              </w:rPr>
              <w:t>pneumophila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275" w:type="dxa"/>
          </w:tcPr>
          <w:p w:rsidR="00376365" w:rsidRPr="00846182" w:rsidRDefault="00E10109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701" w:type="dxa"/>
          </w:tcPr>
          <w:p w:rsidR="00376365" w:rsidRPr="00846182" w:rsidRDefault="00E10109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35</w:t>
            </w:r>
            <w:r w:rsidR="00376365" w:rsidRPr="008461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7/SETTIMANA</w:t>
            </w:r>
          </w:p>
        </w:tc>
      </w:tr>
      <w:tr w:rsidR="00376365" w:rsidRPr="00846182" w:rsidTr="00376365">
        <w:tc>
          <w:tcPr>
            <w:tcW w:w="220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 w:rsidRPr="00846182">
              <w:rPr>
                <w:rFonts w:ascii="Arial" w:hAnsi="Arial" w:cs="Arial"/>
                <w:color w:val="000000"/>
              </w:rPr>
              <w:t>pneumoniae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275" w:type="dxa"/>
          </w:tcPr>
          <w:p w:rsidR="00376365" w:rsidRPr="00846182" w:rsidRDefault="00E10109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701" w:type="dxa"/>
          </w:tcPr>
          <w:p w:rsidR="00376365" w:rsidRPr="00846182" w:rsidRDefault="00E10109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35</w:t>
            </w:r>
            <w:r w:rsidR="00376365" w:rsidRPr="008461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7/SETTIMANA</w:t>
            </w:r>
          </w:p>
        </w:tc>
      </w:tr>
      <w:tr w:rsidR="00376365" w:rsidRPr="00846182" w:rsidTr="00376365">
        <w:tc>
          <w:tcPr>
            <w:tcW w:w="220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TOTALE</w:t>
            </w:r>
            <w:r w:rsidR="007979E7" w:rsidRPr="00846182">
              <w:rPr>
                <w:rFonts w:ascii="Arial" w:hAnsi="Arial" w:cs="Arial"/>
                <w:color w:val="000000"/>
              </w:rPr>
              <w:t xml:space="preserve"> =9000</w:t>
            </w:r>
          </w:p>
        </w:tc>
        <w:tc>
          <w:tcPr>
            <w:tcW w:w="1734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275" w:type="dxa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1</w:t>
            </w:r>
            <w:r w:rsidR="00E10109" w:rsidRPr="00846182">
              <w:rPr>
                <w:rFonts w:ascii="Arial" w:hAnsi="Arial" w:cs="Arial"/>
                <w:color w:val="000000"/>
              </w:rPr>
              <w:t>3</w:t>
            </w:r>
            <w:r w:rsidRPr="0084618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</w:tcPr>
          <w:p w:rsidR="00376365" w:rsidRPr="00846182" w:rsidRDefault="00E10109">
            <w:pPr>
              <w:rPr>
                <w:rFonts w:ascii="Arial" w:hAnsi="Arial" w:cs="Arial"/>
                <w:color w:val="000000"/>
              </w:rPr>
            </w:pPr>
            <w:r w:rsidRPr="00846182">
              <w:rPr>
                <w:rFonts w:ascii="Arial" w:hAnsi="Arial" w:cs="Arial"/>
                <w:color w:val="000000"/>
              </w:rPr>
              <w:t>7</w:t>
            </w:r>
            <w:r w:rsidR="00376365" w:rsidRPr="0084618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942" w:type="dxa"/>
            <w:shd w:val="clear" w:color="auto" w:fill="auto"/>
          </w:tcPr>
          <w:p w:rsidR="00376365" w:rsidRPr="00846182" w:rsidRDefault="003763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12FA1" w:rsidRPr="00846182" w:rsidRDefault="00612FA1">
      <w:pPr>
        <w:rPr>
          <w:rFonts w:ascii="Arial" w:hAnsi="Arial" w:cs="Arial"/>
          <w:color w:val="000000"/>
        </w:rPr>
      </w:pPr>
    </w:p>
    <w:p w:rsidR="00612FA1" w:rsidRPr="00846182" w:rsidRDefault="003D0D20" w:rsidP="003D0D20">
      <w:pPr>
        <w:jc w:val="both"/>
        <w:rPr>
          <w:b/>
          <w:bCs/>
          <w:color w:val="000000"/>
        </w:rPr>
      </w:pPr>
      <w:r w:rsidRPr="00846182">
        <w:rPr>
          <w:b/>
          <w:bCs/>
          <w:color w:val="000000"/>
        </w:rPr>
        <w:t xml:space="preserve">L’ attività viene svolta  su campioni di urina e liquor provenienti dalle aziende sanitarie , incluse le strutture accreditate convenzionate  della provincia di FERRARA (AOSPFE-CONA ,AUSLFE, OSPEDALE DELTA, </w:t>
      </w:r>
      <w:r w:rsidRPr="00846182">
        <w:rPr>
          <w:b/>
          <w:bCs/>
          <w:color w:val="000000"/>
        </w:rPr>
        <w:lastRenderedPageBreak/>
        <w:t>OSPEDALE CENTO).</w:t>
      </w:r>
      <w:r w:rsidR="00893892" w:rsidRPr="00846182">
        <w:rPr>
          <w:b/>
          <w:bCs/>
          <w:color w:val="000000"/>
        </w:rPr>
        <w:t xml:space="preserve"> Per l’attività relativa alla postazione POCT Argenta la soluzione organizzativa prevede che i test siano eseguiti presso il LUP ovvero Microbiologia di Cona-Ferrara.</w:t>
      </w:r>
    </w:p>
    <w:p w:rsidR="00E82098" w:rsidRPr="00846182" w:rsidRDefault="00E82098">
      <w:pPr>
        <w:pStyle w:val="Corpotesto"/>
        <w:rPr>
          <w:bCs/>
          <w:color w:val="000000"/>
          <w:sz w:val="20"/>
        </w:rPr>
      </w:pPr>
    </w:p>
    <w:p w:rsidR="00262BC4" w:rsidRPr="00846182" w:rsidRDefault="00262BC4">
      <w:pPr>
        <w:jc w:val="both"/>
        <w:rPr>
          <w:rFonts w:ascii="Arial" w:hAnsi="Arial" w:cs="Arial"/>
          <w:b/>
          <w:bCs/>
          <w:color w:val="000000"/>
        </w:rPr>
      </w:pPr>
    </w:p>
    <w:p w:rsidR="00262BC4" w:rsidRPr="00846182" w:rsidRDefault="00262BC4">
      <w:pPr>
        <w:jc w:val="both"/>
        <w:rPr>
          <w:rFonts w:ascii="Arial" w:hAnsi="Arial" w:cs="Arial"/>
          <w:b/>
          <w:bCs/>
          <w:color w:val="000000"/>
        </w:rPr>
      </w:pPr>
    </w:p>
    <w:p w:rsidR="00262BC4" w:rsidRPr="00846182" w:rsidRDefault="00262BC4">
      <w:pPr>
        <w:jc w:val="both"/>
        <w:rPr>
          <w:rFonts w:ascii="Arial" w:hAnsi="Arial" w:cs="Arial"/>
          <w:b/>
          <w:bCs/>
          <w:color w:val="000000"/>
        </w:rPr>
      </w:pPr>
    </w:p>
    <w:p w:rsidR="00E82098" w:rsidRPr="00846182" w:rsidRDefault="0080088B">
      <w:pPr>
        <w:jc w:val="both"/>
        <w:rPr>
          <w:color w:val="000000"/>
        </w:rPr>
      </w:pPr>
      <w:r w:rsidRPr="00846182">
        <w:rPr>
          <w:rFonts w:ascii="Arial" w:hAnsi="Arial" w:cs="Arial"/>
          <w:b/>
          <w:bCs/>
          <w:color w:val="000000"/>
        </w:rPr>
        <w:t>OFFERTA ECONOMICA</w:t>
      </w:r>
      <w:r w:rsidR="00E82098" w:rsidRPr="00846182">
        <w:rPr>
          <w:rFonts w:ascii="Arial" w:hAnsi="Arial" w:cs="Arial"/>
          <w:bCs/>
          <w:color w:val="000000"/>
        </w:rPr>
        <w:t xml:space="preserve"> : </w:t>
      </w:r>
      <w:r w:rsidR="00E82098" w:rsidRPr="00846182">
        <w:rPr>
          <w:rFonts w:ascii="Arial" w:hAnsi="Arial" w:cs="Arial"/>
          <w:b/>
          <w:bCs/>
          <w:color w:val="000000"/>
          <w:u w:val="single"/>
        </w:rPr>
        <w:t>PREZZO A REFERTO</w:t>
      </w:r>
    </w:p>
    <w:p w:rsidR="003B38E9" w:rsidRPr="00846182" w:rsidRDefault="003B38E9">
      <w:pPr>
        <w:jc w:val="both"/>
        <w:rPr>
          <w:rFonts w:ascii="Arial" w:hAnsi="Arial" w:cs="Arial"/>
          <w:color w:val="000000"/>
        </w:rPr>
      </w:pPr>
    </w:p>
    <w:p w:rsidR="00E82098" w:rsidRPr="00846182" w:rsidRDefault="00E82098">
      <w:pPr>
        <w:jc w:val="both"/>
        <w:rPr>
          <w:color w:val="000000"/>
        </w:rPr>
      </w:pPr>
      <w:r w:rsidRPr="00846182">
        <w:rPr>
          <w:rFonts w:ascii="Arial" w:hAnsi="Arial" w:cs="Arial"/>
          <w:color w:val="000000"/>
        </w:rPr>
        <w:t xml:space="preserve">Si segnala che il numero di referti si riferisce </w:t>
      </w:r>
      <w:r w:rsidRPr="00846182">
        <w:rPr>
          <w:rFonts w:ascii="Arial" w:hAnsi="Arial" w:cs="Arial"/>
          <w:b/>
          <w:color w:val="000000"/>
          <w:u w:val="single"/>
        </w:rPr>
        <w:t>ai soli processi analitici rilevati dal LIS</w:t>
      </w:r>
      <w:r w:rsidRPr="00846182">
        <w:rPr>
          <w:rFonts w:ascii="Arial" w:hAnsi="Arial" w:cs="Arial"/>
          <w:color w:val="000000"/>
        </w:rPr>
        <w:t xml:space="preserve">; non sono pertanto conteggiati né i cicli dello strumento corrispondenti a controlli, calibrazioni, lavaggi, </w:t>
      </w:r>
      <w:proofErr w:type="spellStart"/>
      <w:r w:rsidRPr="00846182">
        <w:rPr>
          <w:rFonts w:ascii="Arial" w:hAnsi="Arial" w:cs="Arial"/>
          <w:color w:val="000000"/>
        </w:rPr>
        <w:t>avvinamenti</w:t>
      </w:r>
      <w:proofErr w:type="spellEnd"/>
      <w:r w:rsidRPr="00846182">
        <w:rPr>
          <w:rFonts w:ascii="Arial" w:hAnsi="Arial" w:cs="Arial"/>
          <w:color w:val="000000"/>
        </w:rPr>
        <w:t xml:space="preserve"> ed eventuali altri cicli previsti dalla tecnologia proposta, né eventuali campioni ripetuti o sedute risultanti invalide per cause di qualsivoglia natura. </w:t>
      </w:r>
    </w:p>
    <w:p w:rsidR="00E82098" w:rsidRPr="00846182" w:rsidRDefault="00E82098">
      <w:pPr>
        <w:jc w:val="both"/>
        <w:rPr>
          <w:color w:val="000000"/>
        </w:rPr>
      </w:pPr>
      <w:r w:rsidRPr="00846182">
        <w:rPr>
          <w:rFonts w:ascii="Arial" w:hAnsi="Arial" w:cs="Arial"/>
          <w:color w:val="000000"/>
        </w:rPr>
        <w:t>Preme sottolin</w:t>
      </w:r>
      <w:r w:rsidR="00F95D1D" w:rsidRPr="00846182">
        <w:rPr>
          <w:rFonts w:ascii="Arial" w:hAnsi="Arial" w:cs="Arial"/>
          <w:color w:val="000000"/>
        </w:rPr>
        <w:t xml:space="preserve">eare che il “prezzo a referto” </w:t>
      </w:r>
      <w:r w:rsidRPr="00846182">
        <w:rPr>
          <w:rFonts w:ascii="Arial" w:hAnsi="Arial" w:cs="Arial"/>
          <w:color w:val="000000"/>
        </w:rPr>
        <w:t>include</w:t>
      </w:r>
      <w:r w:rsidR="00F95D1D" w:rsidRPr="00846182">
        <w:rPr>
          <w:rFonts w:ascii="Arial" w:hAnsi="Arial" w:cs="Arial"/>
          <w:color w:val="000000"/>
        </w:rPr>
        <w:t xml:space="preserve"> i reagenti e consumabili necessari per ogni referto</w:t>
      </w:r>
      <w:r w:rsidRPr="00846182">
        <w:rPr>
          <w:rFonts w:ascii="Arial" w:hAnsi="Arial" w:cs="Arial"/>
          <w:color w:val="000000"/>
        </w:rPr>
        <w:t xml:space="preserve">. </w:t>
      </w:r>
      <w:r w:rsidRPr="00846182">
        <w:rPr>
          <w:rFonts w:ascii="Arial" w:hAnsi="Arial" w:cs="Arial"/>
          <w:b/>
          <w:color w:val="000000"/>
          <w:u w:val="single"/>
        </w:rPr>
        <w:t>Sono esclusi dal prezzo</w:t>
      </w:r>
      <w:r w:rsidRPr="00846182">
        <w:rPr>
          <w:rFonts w:ascii="Arial" w:hAnsi="Arial" w:cs="Arial"/>
          <w:color w:val="000000"/>
        </w:rPr>
        <w:t xml:space="preserve"> i soli contenitori primari per la raccolta dei campioni biologici. </w:t>
      </w:r>
    </w:p>
    <w:p w:rsidR="00E82098" w:rsidRPr="00846182" w:rsidRDefault="00E820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6182">
        <w:rPr>
          <w:rFonts w:ascii="Arial" w:hAnsi="Arial" w:cs="Arial"/>
          <w:color w:val="000000"/>
          <w:sz w:val="22"/>
          <w:szCs w:val="22"/>
        </w:rPr>
        <w:t>L’approvvigionamento di tutti i reagenti/materiali di consumo necessari per lo svolgimento dell’attività analitica prevista e per il corretto funzionamento dei sistemi diagnostici è a carico della Ditta Aggiudicataria</w:t>
      </w:r>
    </w:p>
    <w:p w:rsidR="00F23C6E" w:rsidRPr="00846182" w:rsidRDefault="00F23C6E" w:rsidP="00F23C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6182">
        <w:rPr>
          <w:rFonts w:ascii="Arial" w:hAnsi="Arial" w:cs="Arial"/>
          <w:color w:val="000000"/>
          <w:sz w:val="22"/>
          <w:szCs w:val="22"/>
        </w:rPr>
        <w:t>La Ditta dovrà indicare, utilizzando l’ Allegato F, un prezzo per il canone di noleggio (Scheda 1),  un prezzo di assistenza tecnica (Scheda 2) e un prezzo a referto (Scheda 3) separatamente.</w:t>
      </w:r>
    </w:p>
    <w:p w:rsidR="00F23C6E" w:rsidRPr="00846182" w:rsidRDefault="00F23C6E" w:rsidP="00F23C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6182">
        <w:rPr>
          <w:rFonts w:ascii="Arial" w:hAnsi="Arial" w:cs="Arial"/>
          <w:color w:val="000000"/>
          <w:sz w:val="22"/>
          <w:szCs w:val="22"/>
        </w:rPr>
        <w:t>Alla Ditta viene richiesto, compilando l’Allegato F - Scheda 4, di indicare i reagenti e consumabili necessari ad ogni esame </w:t>
      </w:r>
    </w:p>
    <w:p w:rsidR="00E82098" w:rsidRPr="00F143E4" w:rsidRDefault="00E82098">
      <w:pPr>
        <w:widowControl w:val="0"/>
        <w:jc w:val="both"/>
        <w:rPr>
          <w:color w:val="000000"/>
        </w:rPr>
      </w:pPr>
      <w:r w:rsidRPr="00846182">
        <w:rPr>
          <w:rFonts w:ascii="Arial" w:hAnsi="Arial" w:cs="Arial"/>
          <w:color w:val="000000"/>
          <w:sz w:val="22"/>
        </w:rPr>
        <w:t xml:space="preserve">Il prezzo a referto dichiarato in offerta (Allegato F, scheda </w:t>
      </w:r>
      <w:r w:rsidR="00A841E1" w:rsidRPr="00846182">
        <w:rPr>
          <w:rFonts w:ascii="Arial" w:hAnsi="Arial" w:cs="Arial"/>
          <w:color w:val="000000"/>
          <w:sz w:val="22"/>
        </w:rPr>
        <w:t>3</w:t>
      </w:r>
      <w:r w:rsidRPr="00846182">
        <w:rPr>
          <w:rFonts w:ascii="Arial" w:hAnsi="Arial" w:cs="Arial"/>
          <w:color w:val="000000"/>
          <w:sz w:val="22"/>
        </w:rPr>
        <w:t xml:space="preserve">) per ciascun analita, costituirà la base per gli ordini che verranno emessi con cadenza mensile dal Servizio competente della AOUBO per consentire la successiva fatturazione. Gli ordini verranno emessi </w:t>
      </w:r>
      <w:r w:rsidRPr="00F143E4">
        <w:rPr>
          <w:rFonts w:ascii="Arial" w:hAnsi="Arial" w:cs="Arial"/>
          <w:color w:val="000000"/>
          <w:sz w:val="22"/>
        </w:rPr>
        <w:t xml:space="preserve">entro il 15 di ciascun mese (o con periodicità diversa se concordato con i referenti della AOUBO) e saranno relativi ai referti prodotti nel mese precedente, rilevati dal LIS della AOUBO </w:t>
      </w:r>
      <w:r w:rsidR="00612FA1" w:rsidRPr="00F143E4">
        <w:rPr>
          <w:rFonts w:ascii="Arial" w:hAnsi="Arial" w:cs="Arial"/>
          <w:color w:val="000000"/>
          <w:sz w:val="22"/>
        </w:rPr>
        <w:t xml:space="preserve">e della </w:t>
      </w:r>
      <w:r w:rsidR="00612FA1" w:rsidRPr="00F143E4">
        <w:rPr>
          <w:rFonts w:ascii="Arial" w:hAnsi="Arial" w:cs="Arial"/>
          <w:bCs/>
          <w:color w:val="000000"/>
          <w:sz w:val="22"/>
        </w:rPr>
        <w:t>AOSPFE</w:t>
      </w:r>
      <w:r w:rsidR="00893892" w:rsidRPr="00F143E4">
        <w:rPr>
          <w:rFonts w:ascii="Arial" w:hAnsi="Arial" w:cs="Arial"/>
          <w:bCs/>
          <w:color w:val="000000"/>
          <w:sz w:val="22"/>
        </w:rPr>
        <w:t>, AUSLDELTA E AUSLCENTO</w:t>
      </w:r>
      <w:r w:rsidR="00612FA1" w:rsidRPr="00F143E4">
        <w:rPr>
          <w:rFonts w:ascii="Arial" w:hAnsi="Arial" w:cs="Arial"/>
          <w:color w:val="000000"/>
          <w:sz w:val="22"/>
        </w:rPr>
        <w:t xml:space="preserve"> </w:t>
      </w:r>
      <w:r w:rsidRPr="00F143E4">
        <w:rPr>
          <w:rFonts w:ascii="Arial" w:hAnsi="Arial" w:cs="Arial"/>
          <w:color w:val="000000"/>
          <w:sz w:val="22"/>
        </w:rPr>
        <w:t>nella modalità sopra indicata.</w:t>
      </w:r>
    </w:p>
    <w:p w:rsidR="00E82098" w:rsidRPr="00846182" w:rsidRDefault="00E82098">
      <w:pPr>
        <w:jc w:val="both"/>
        <w:rPr>
          <w:color w:val="000000"/>
        </w:rPr>
      </w:pPr>
      <w:r w:rsidRPr="00846182">
        <w:rPr>
          <w:rFonts w:ascii="Arial" w:hAnsi="Arial" w:cs="Arial"/>
          <w:color w:val="000000"/>
          <w:sz w:val="22"/>
        </w:rPr>
        <w:t>Eventuali fatture emesse con modalità difforme da quanto sopra indicato non saranno corrisposte.</w:t>
      </w:r>
    </w:p>
    <w:p w:rsidR="00E82098" w:rsidRPr="00846182" w:rsidRDefault="00E82098">
      <w:pPr>
        <w:rPr>
          <w:rFonts w:ascii="Arial" w:hAnsi="Arial" w:cs="Arial"/>
          <w:color w:val="000000"/>
          <w:sz w:val="22"/>
        </w:rPr>
      </w:pPr>
    </w:p>
    <w:p w:rsidR="00E82098" w:rsidRPr="00846182" w:rsidRDefault="00E82098">
      <w:pPr>
        <w:pStyle w:val="Corpotesto"/>
        <w:rPr>
          <w:color w:val="000000"/>
          <w:sz w:val="22"/>
        </w:rPr>
      </w:pPr>
    </w:p>
    <w:p w:rsidR="00E82098" w:rsidRPr="00C6122C" w:rsidRDefault="00E82098">
      <w:pPr>
        <w:jc w:val="both"/>
        <w:rPr>
          <w:rFonts w:ascii="Arial" w:hAnsi="Arial" w:cs="Arial"/>
          <w:b/>
          <w:bCs/>
          <w:color w:val="FF0000"/>
          <w:sz w:val="24"/>
          <w:u w:val="single"/>
        </w:rPr>
      </w:pPr>
    </w:p>
    <w:sectPr w:rsidR="00E82098" w:rsidRPr="00C6122C" w:rsidSect="006B664E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C"/>
    <w:rsid w:val="00012446"/>
    <w:rsid w:val="000B45CF"/>
    <w:rsid w:val="00102962"/>
    <w:rsid w:val="00165F63"/>
    <w:rsid w:val="00262BC4"/>
    <w:rsid w:val="00297428"/>
    <w:rsid w:val="00376365"/>
    <w:rsid w:val="003B38E9"/>
    <w:rsid w:val="003D0D20"/>
    <w:rsid w:val="003E1223"/>
    <w:rsid w:val="00453ABD"/>
    <w:rsid w:val="005D5A92"/>
    <w:rsid w:val="005F433E"/>
    <w:rsid w:val="00612FA1"/>
    <w:rsid w:val="00694348"/>
    <w:rsid w:val="006B664E"/>
    <w:rsid w:val="0071221A"/>
    <w:rsid w:val="007979E7"/>
    <w:rsid w:val="0080088B"/>
    <w:rsid w:val="00846182"/>
    <w:rsid w:val="00893892"/>
    <w:rsid w:val="008B14D8"/>
    <w:rsid w:val="0092112F"/>
    <w:rsid w:val="00A841E1"/>
    <w:rsid w:val="00B01464"/>
    <w:rsid w:val="00B80F51"/>
    <w:rsid w:val="00C6122C"/>
    <w:rsid w:val="00E10109"/>
    <w:rsid w:val="00E816E2"/>
    <w:rsid w:val="00E82098"/>
    <w:rsid w:val="00F143E4"/>
    <w:rsid w:val="00F23C6E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64E"/>
    <w:pPr>
      <w:suppressAutoHyphens/>
    </w:pPr>
    <w:rPr>
      <w:lang w:eastAsia="zh-CN"/>
    </w:rPr>
  </w:style>
  <w:style w:type="paragraph" w:styleId="Titolo4">
    <w:name w:val="heading 4"/>
    <w:basedOn w:val="Normale"/>
    <w:next w:val="Normale"/>
    <w:qFormat/>
    <w:rsid w:val="006B664E"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B664E"/>
  </w:style>
  <w:style w:type="character" w:customStyle="1" w:styleId="WW8Num1z1">
    <w:name w:val="WW8Num1z1"/>
    <w:rsid w:val="006B664E"/>
  </w:style>
  <w:style w:type="character" w:customStyle="1" w:styleId="WW8Num1z2">
    <w:name w:val="WW8Num1z2"/>
    <w:rsid w:val="006B664E"/>
  </w:style>
  <w:style w:type="character" w:customStyle="1" w:styleId="WW8Num1z3">
    <w:name w:val="WW8Num1z3"/>
    <w:rsid w:val="006B664E"/>
  </w:style>
  <w:style w:type="character" w:customStyle="1" w:styleId="WW8Num1z4">
    <w:name w:val="WW8Num1z4"/>
    <w:rsid w:val="006B664E"/>
  </w:style>
  <w:style w:type="character" w:customStyle="1" w:styleId="WW8Num1z5">
    <w:name w:val="WW8Num1z5"/>
    <w:rsid w:val="006B664E"/>
  </w:style>
  <w:style w:type="character" w:customStyle="1" w:styleId="WW8Num1z6">
    <w:name w:val="WW8Num1z6"/>
    <w:rsid w:val="006B664E"/>
  </w:style>
  <w:style w:type="character" w:customStyle="1" w:styleId="WW8Num1z7">
    <w:name w:val="WW8Num1z7"/>
    <w:rsid w:val="006B664E"/>
  </w:style>
  <w:style w:type="character" w:customStyle="1" w:styleId="WW8Num1z8">
    <w:name w:val="WW8Num1z8"/>
    <w:rsid w:val="006B664E"/>
  </w:style>
  <w:style w:type="character" w:customStyle="1" w:styleId="Carpredefinitoparagrafo2">
    <w:name w:val="Car. predefinito paragrafo2"/>
    <w:rsid w:val="006B664E"/>
  </w:style>
  <w:style w:type="character" w:customStyle="1" w:styleId="WW8Num2z0">
    <w:name w:val="WW8Num2z0"/>
    <w:rsid w:val="006B664E"/>
    <w:rPr>
      <w:rFonts w:ascii="Symbol" w:hAnsi="Symbol" w:cs="Symbol" w:hint="default"/>
    </w:rPr>
  </w:style>
  <w:style w:type="character" w:customStyle="1" w:styleId="WW8Num2z1">
    <w:name w:val="WW8Num2z1"/>
    <w:rsid w:val="006B664E"/>
    <w:rPr>
      <w:rFonts w:ascii="Courier New" w:hAnsi="Courier New" w:cs="Courier New" w:hint="default"/>
    </w:rPr>
  </w:style>
  <w:style w:type="character" w:customStyle="1" w:styleId="WW8Num2z2">
    <w:name w:val="WW8Num2z2"/>
    <w:rsid w:val="006B664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6B664E"/>
  </w:style>
  <w:style w:type="character" w:customStyle="1" w:styleId="Corpodeltesto3Carattere">
    <w:name w:val="Corpo del testo 3 Carattere"/>
    <w:rsid w:val="006B664E"/>
    <w:rPr>
      <w:sz w:val="16"/>
      <w:szCs w:val="16"/>
    </w:rPr>
  </w:style>
  <w:style w:type="character" w:styleId="Enfasigrassetto">
    <w:name w:val="Strong"/>
    <w:qFormat/>
    <w:rsid w:val="006B664E"/>
    <w:rPr>
      <w:b/>
      <w:bCs/>
    </w:rPr>
  </w:style>
  <w:style w:type="character" w:customStyle="1" w:styleId="TitoloCarattere">
    <w:name w:val="Titolo Carattere"/>
    <w:rsid w:val="006B664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6B664E"/>
    <w:rPr>
      <w:rFonts w:ascii="Cambria" w:eastAsia="Times New Roman" w:hAnsi="Cambria" w:cs="Times New Roman"/>
      <w:sz w:val="24"/>
      <w:szCs w:val="24"/>
    </w:rPr>
  </w:style>
  <w:style w:type="paragraph" w:customStyle="1" w:styleId="Titolo2">
    <w:name w:val="Titolo2"/>
    <w:basedOn w:val="Normale"/>
    <w:next w:val="Corpotesto"/>
    <w:rsid w:val="006B6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B664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sid w:val="006B664E"/>
    <w:rPr>
      <w:rFonts w:cs="Lucida Sans"/>
    </w:rPr>
  </w:style>
  <w:style w:type="paragraph" w:styleId="Didascalia">
    <w:name w:val="caption"/>
    <w:basedOn w:val="Normale"/>
    <w:qFormat/>
    <w:rsid w:val="006B66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6B664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Normale"/>
    <w:rsid w:val="006B664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Rientrocorpodeltesto">
    <w:name w:val="Body Text Indent"/>
    <w:basedOn w:val="Normale"/>
    <w:rsid w:val="006B664E"/>
    <w:pPr>
      <w:ind w:left="426" w:hanging="426"/>
    </w:pPr>
    <w:rPr>
      <w:rFonts w:ascii="Arial" w:hAnsi="Arial" w:cs="Arial"/>
      <w:sz w:val="24"/>
    </w:rPr>
  </w:style>
  <w:style w:type="paragraph" w:customStyle="1" w:styleId="StileCorpodeltestoGaramond12pt">
    <w:name w:val="Stile Corpo del testo + Garamond 12 pt"/>
    <w:basedOn w:val="Corpotesto"/>
    <w:rsid w:val="006B664E"/>
    <w:pPr>
      <w:spacing w:before="120" w:line="240" w:lineRule="exact"/>
    </w:pPr>
    <w:rPr>
      <w:rFonts w:ascii="Garamond" w:hAnsi="Garamond" w:cs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6B664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Normale"/>
    <w:qFormat/>
    <w:rsid w:val="006B664E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Contenutotabella">
    <w:name w:val="Contenuto tabella"/>
    <w:basedOn w:val="Normale"/>
    <w:rsid w:val="006B664E"/>
    <w:pPr>
      <w:suppressLineNumbers/>
    </w:pPr>
  </w:style>
  <w:style w:type="paragraph" w:customStyle="1" w:styleId="Titolotabella">
    <w:name w:val="Titolo tabella"/>
    <w:basedOn w:val="Contenutotabella"/>
    <w:rsid w:val="006B664E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1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64E"/>
    <w:pPr>
      <w:suppressAutoHyphens/>
    </w:pPr>
    <w:rPr>
      <w:lang w:eastAsia="zh-CN"/>
    </w:rPr>
  </w:style>
  <w:style w:type="paragraph" w:styleId="Titolo4">
    <w:name w:val="heading 4"/>
    <w:basedOn w:val="Normale"/>
    <w:next w:val="Normale"/>
    <w:qFormat/>
    <w:rsid w:val="006B664E"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B664E"/>
  </w:style>
  <w:style w:type="character" w:customStyle="1" w:styleId="WW8Num1z1">
    <w:name w:val="WW8Num1z1"/>
    <w:rsid w:val="006B664E"/>
  </w:style>
  <w:style w:type="character" w:customStyle="1" w:styleId="WW8Num1z2">
    <w:name w:val="WW8Num1z2"/>
    <w:rsid w:val="006B664E"/>
  </w:style>
  <w:style w:type="character" w:customStyle="1" w:styleId="WW8Num1z3">
    <w:name w:val="WW8Num1z3"/>
    <w:rsid w:val="006B664E"/>
  </w:style>
  <w:style w:type="character" w:customStyle="1" w:styleId="WW8Num1z4">
    <w:name w:val="WW8Num1z4"/>
    <w:rsid w:val="006B664E"/>
  </w:style>
  <w:style w:type="character" w:customStyle="1" w:styleId="WW8Num1z5">
    <w:name w:val="WW8Num1z5"/>
    <w:rsid w:val="006B664E"/>
  </w:style>
  <w:style w:type="character" w:customStyle="1" w:styleId="WW8Num1z6">
    <w:name w:val="WW8Num1z6"/>
    <w:rsid w:val="006B664E"/>
  </w:style>
  <w:style w:type="character" w:customStyle="1" w:styleId="WW8Num1z7">
    <w:name w:val="WW8Num1z7"/>
    <w:rsid w:val="006B664E"/>
  </w:style>
  <w:style w:type="character" w:customStyle="1" w:styleId="WW8Num1z8">
    <w:name w:val="WW8Num1z8"/>
    <w:rsid w:val="006B664E"/>
  </w:style>
  <w:style w:type="character" w:customStyle="1" w:styleId="Carpredefinitoparagrafo2">
    <w:name w:val="Car. predefinito paragrafo2"/>
    <w:rsid w:val="006B664E"/>
  </w:style>
  <w:style w:type="character" w:customStyle="1" w:styleId="WW8Num2z0">
    <w:name w:val="WW8Num2z0"/>
    <w:rsid w:val="006B664E"/>
    <w:rPr>
      <w:rFonts w:ascii="Symbol" w:hAnsi="Symbol" w:cs="Symbol" w:hint="default"/>
    </w:rPr>
  </w:style>
  <w:style w:type="character" w:customStyle="1" w:styleId="WW8Num2z1">
    <w:name w:val="WW8Num2z1"/>
    <w:rsid w:val="006B664E"/>
    <w:rPr>
      <w:rFonts w:ascii="Courier New" w:hAnsi="Courier New" w:cs="Courier New" w:hint="default"/>
    </w:rPr>
  </w:style>
  <w:style w:type="character" w:customStyle="1" w:styleId="WW8Num2z2">
    <w:name w:val="WW8Num2z2"/>
    <w:rsid w:val="006B664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6B664E"/>
  </w:style>
  <w:style w:type="character" w:customStyle="1" w:styleId="Corpodeltesto3Carattere">
    <w:name w:val="Corpo del testo 3 Carattere"/>
    <w:rsid w:val="006B664E"/>
    <w:rPr>
      <w:sz w:val="16"/>
      <w:szCs w:val="16"/>
    </w:rPr>
  </w:style>
  <w:style w:type="character" w:styleId="Enfasigrassetto">
    <w:name w:val="Strong"/>
    <w:qFormat/>
    <w:rsid w:val="006B664E"/>
    <w:rPr>
      <w:b/>
      <w:bCs/>
    </w:rPr>
  </w:style>
  <w:style w:type="character" w:customStyle="1" w:styleId="TitoloCarattere">
    <w:name w:val="Titolo Carattere"/>
    <w:rsid w:val="006B664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6B664E"/>
    <w:rPr>
      <w:rFonts w:ascii="Cambria" w:eastAsia="Times New Roman" w:hAnsi="Cambria" w:cs="Times New Roman"/>
      <w:sz w:val="24"/>
      <w:szCs w:val="24"/>
    </w:rPr>
  </w:style>
  <w:style w:type="paragraph" w:customStyle="1" w:styleId="Titolo2">
    <w:name w:val="Titolo2"/>
    <w:basedOn w:val="Normale"/>
    <w:next w:val="Corpotesto"/>
    <w:rsid w:val="006B6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B664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sid w:val="006B664E"/>
    <w:rPr>
      <w:rFonts w:cs="Lucida Sans"/>
    </w:rPr>
  </w:style>
  <w:style w:type="paragraph" w:styleId="Didascalia">
    <w:name w:val="caption"/>
    <w:basedOn w:val="Normale"/>
    <w:qFormat/>
    <w:rsid w:val="006B66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6B664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Normale"/>
    <w:rsid w:val="006B664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Rientrocorpodeltesto">
    <w:name w:val="Body Text Indent"/>
    <w:basedOn w:val="Normale"/>
    <w:rsid w:val="006B664E"/>
    <w:pPr>
      <w:ind w:left="426" w:hanging="426"/>
    </w:pPr>
    <w:rPr>
      <w:rFonts w:ascii="Arial" w:hAnsi="Arial" w:cs="Arial"/>
      <w:sz w:val="24"/>
    </w:rPr>
  </w:style>
  <w:style w:type="paragraph" w:customStyle="1" w:styleId="StileCorpodeltestoGaramond12pt">
    <w:name w:val="Stile Corpo del testo + Garamond 12 pt"/>
    <w:basedOn w:val="Corpotesto"/>
    <w:rsid w:val="006B664E"/>
    <w:pPr>
      <w:spacing w:before="120" w:line="240" w:lineRule="exact"/>
    </w:pPr>
    <w:rPr>
      <w:rFonts w:ascii="Garamond" w:hAnsi="Garamond" w:cs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6B664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Normale"/>
    <w:qFormat/>
    <w:rsid w:val="006B664E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Contenutotabella">
    <w:name w:val="Contenuto tabella"/>
    <w:basedOn w:val="Normale"/>
    <w:rsid w:val="006B664E"/>
    <w:pPr>
      <w:suppressLineNumbers/>
    </w:pPr>
  </w:style>
  <w:style w:type="paragraph" w:customStyle="1" w:styleId="Titolotabella">
    <w:name w:val="Titolo tabella"/>
    <w:basedOn w:val="Contenutotabella"/>
    <w:rsid w:val="006B664E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1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Policlinico di S.Orsola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Antonella</dc:creator>
  <cp:lastModifiedBy>Raspa Patrizia</cp:lastModifiedBy>
  <cp:revision>2</cp:revision>
  <cp:lastPrinted>1900-12-31T23:00:00Z</cp:lastPrinted>
  <dcterms:created xsi:type="dcterms:W3CDTF">2024-03-18T13:24:00Z</dcterms:created>
  <dcterms:modified xsi:type="dcterms:W3CDTF">2024-03-18T13:24:00Z</dcterms:modified>
</cp:coreProperties>
</file>